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66" w:rsidRPr="00DE1666" w:rsidRDefault="00DE1666" w:rsidP="00AC230C">
      <w:pPr>
        <w:pStyle w:val="Header"/>
        <w:tabs>
          <w:tab w:val="left" w:pos="720"/>
        </w:tabs>
        <w:rPr>
          <w:b/>
          <w:sz w:val="22"/>
          <w:szCs w:val="22"/>
        </w:rPr>
      </w:pPr>
      <w:r w:rsidRPr="00DE1666">
        <w:rPr>
          <w:b/>
          <w:sz w:val="22"/>
          <w:szCs w:val="22"/>
        </w:rPr>
        <w:t xml:space="preserve">Algebra Honors </w:t>
      </w:r>
    </w:p>
    <w:p w:rsidR="00DE1666" w:rsidRDefault="00DE1666" w:rsidP="00AC230C">
      <w:pPr>
        <w:pStyle w:val="Header"/>
        <w:tabs>
          <w:tab w:val="left" w:pos="720"/>
        </w:tabs>
        <w:rPr>
          <w:sz w:val="22"/>
          <w:szCs w:val="22"/>
        </w:rPr>
      </w:pPr>
    </w:p>
    <w:p w:rsidR="00AC230C" w:rsidRDefault="00AC230C" w:rsidP="00AC230C">
      <w:pPr>
        <w:pStyle w:val="Header"/>
        <w:tabs>
          <w:tab w:val="left" w:pos="720"/>
        </w:tabs>
        <w:rPr>
          <w:sz w:val="22"/>
          <w:szCs w:val="22"/>
        </w:rPr>
      </w:pPr>
      <w:r>
        <w:rPr>
          <w:sz w:val="22"/>
          <w:szCs w:val="22"/>
        </w:rPr>
        <w:t>Please note the Algebra 1-2 Honors and Geometry Honors courses are high school courses and follow the high school curriculum, grading and guidelines set forth in the Academic Planning Guide.  The grade earned in an Algebra 1-2 Honors or Geometry Honors course will be calculated into your child’s high school GPA and will impact their class rank.  Enrolling your child in a high school course while in 7</w:t>
      </w:r>
      <w:r>
        <w:rPr>
          <w:sz w:val="22"/>
          <w:szCs w:val="22"/>
          <w:vertAlign w:val="superscript"/>
        </w:rPr>
        <w:t>th</w:t>
      </w:r>
      <w:r>
        <w:rPr>
          <w:sz w:val="22"/>
          <w:szCs w:val="22"/>
        </w:rPr>
        <w:t xml:space="preserve"> or 8</w:t>
      </w:r>
      <w:r>
        <w:rPr>
          <w:sz w:val="22"/>
          <w:szCs w:val="22"/>
          <w:vertAlign w:val="superscript"/>
        </w:rPr>
        <w:t>th</w:t>
      </w:r>
      <w:r>
        <w:rPr>
          <w:sz w:val="22"/>
          <w:szCs w:val="22"/>
        </w:rPr>
        <w:t xml:space="preserve"> grade will have academic consequences that may include AIMS results, success in the subsequent high school courses, impact on high school GPA and impact on high school class ranking.</w:t>
      </w:r>
    </w:p>
    <w:p w:rsidR="00AC230C" w:rsidRDefault="00AC230C" w:rsidP="00AC230C">
      <w:pPr>
        <w:pStyle w:val="Header"/>
        <w:tabs>
          <w:tab w:val="left" w:pos="720"/>
        </w:tabs>
        <w:rPr>
          <w:sz w:val="22"/>
          <w:szCs w:val="22"/>
        </w:rPr>
      </w:pPr>
    </w:p>
    <w:p w:rsidR="00AC230C" w:rsidRDefault="00AC230C" w:rsidP="00AC230C">
      <w:pPr>
        <w:pStyle w:val="Header"/>
        <w:tabs>
          <w:tab w:val="left" w:pos="720"/>
        </w:tabs>
        <w:rPr>
          <w:sz w:val="22"/>
          <w:szCs w:val="22"/>
        </w:rPr>
      </w:pPr>
      <w:r>
        <w:rPr>
          <w:sz w:val="22"/>
          <w:szCs w:val="22"/>
        </w:rPr>
        <w:t>If your child is placed into either Algebra 1-2 Honors or Geometry Honors, please read the following excerpts from the Academic Planning Guide carefully.</w:t>
      </w:r>
    </w:p>
    <w:p w:rsidR="00AC230C" w:rsidRDefault="00AC230C" w:rsidP="00AC230C">
      <w:pPr>
        <w:pStyle w:val="Header"/>
        <w:tabs>
          <w:tab w:val="left" w:pos="720"/>
        </w:tabs>
        <w:rPr>
          <w:sz w:val="22"/>
          <w:szCs w:val="22"/>
        </w:rPr>
      </w:pPr>
    </w:p>
    <w:p w:rsidR="00AC230C" w:rsidRDefault="00AC230C" w:rsidP="00AC230C">
      <w:pPr>
        <w:pStyle w:val="Heading9"/>
        <w:tabs>
          <w:tab w:val="left" w:pos="810"/>
          <w:tab w:val="left" w:pos="4680"/>
        </w:tabs>
        <w:rPr>
          <w:rFonts w:ascii="Times New Roman" w:eastAsia="Times New Roman"/>
        </w:rPr>
      </w:pPr>
      <w:r>
        <w:rPr>
          <w:rFonts w:ascii="Times New Roman" w:eastAsia="Times New Roman"/>
        </w:rPr>
        <w:t>Placement Changes</w:t>
      </w:r>
    </w:p>
    <w:p w:rsidR="00AC230C" w:rsidRDefault="00AC230C" w:rsidP="00AC230C">
      <w:pPr>
        <w:pStyle w:val="Header"/>
        <w:tabs>
          <w:tab w:val="left" w:pos="720"/>
        </w:tabs>
        <w:rPr>
          <w:sz w:val="18"/>
          <w:lang w:eastAsia="ko-KR"/>
        </w:rPr>
      </w:pPr>
      <w:r>
        <w:rPr>
          <w:sz w:val="18"/>
          <w:lang w:eastAsia="ko-KR"/>
        </w:rPr>
        <w:t>Any student (regular or (H), (AP), (IB)) who withdraws from a class after the first fifteen (15) days of the semester, but before the end of the tenth (10) week will receive a grade of WP or WF. Requests for class withdrawals will not be processed after the tenth (10) week of the semester. WP or WF grades will be posted on a student’s transcript but not factored into GPA or class ranking. Students who receive a WF will be ineligible for extra-curricular and AIA participation.</w:t>
      </w:r>
    </w:p>
    <w:p w:rsidR="00AC230C" w:rsidRDefault="00AC230C" w:rsidP="00AC230C">
      <w:pPr>
        <w:tabs>
          <w:tab w:val="left" w:pos="810"/>
          <w:tab w:val="left" w:pos="4680"/>
        </w:tabs>
        <w:rPr>
          <w:b/>
          <w:sz w:val="20"/>
          <w:lang w:eastAsia="ko-KR"/>
        </w:rPr>
      </w:pPr>
    </w:p>
    <w:p w:rsidR="00AC230C" w:rsidRDefault="00AC230C" w:rsidP="00AC230C">
      <w:pPr>
        <w:tabs>
          <w:tab w:val="left" w:pos="810"/>
          <w:tab w:val="left" w:pos="4680"/>
        </w:tabs>
        <w:rPr>
          <w:b/>
          <w:sz w:val="20"/>
          <w:lang w:eastAsia="ko-KR"/>
        </w:rPr>
      </w:pPr>
      <w:r>
        <w:rPr>
          <w:b/>
          <w:sz w:val="20"/>
          <w:lang w:eastAsia="ko-KR"/>
        </w:rPr>
        <w:t>GPA INFORMATION</w:t>
      </w:r>
    </w:p>
    <w:p w:rsidR="00AC230C" w:rsidRDefault="00AC230C" w:rsidP="00AC230C">
      <w:pPr>
        <w:tabs>
          <w:tab w:val="left" w:pos="810"/>
          <w:tab w:val="left" w:pos="4680"/>
        </w:tabs>
        <w:rPr>
          <w:sz w:val="18"/>
          <w:lang w:eastAsia="ko-KR"/>
        </w:rPr>
      </w:pPr>
      <w:r>
        <w:rPr>
          <w:sz w:val="18"/>
          <w:lang w:eastAsia="ko-KR"/>
        </w:rPr>
        <w:t>Weighted Courses</w:t>
      </w:r>
      <w:r>
        <w:rPr>
          <w:sz w:val="18"/>
          <w:lang w:eastAsia="ko-KR"/>
        </w:rPr>
        <w:tab/>
      </w:r>
    </w:p>
    <w:p w:rsidR="00AC230C" w:rsidRDefault="00AC230C" w:rsidP="00AC230C">
      <w:pPr>
        <w:tabs>
          <w:tab w:val="left" w:pos="810"/>
          <w:tab w:val="left" w:pos="4680"/>
        </w:tabs>
        <w:rPr>
          <w:sz w:val="18"/>
          <w:lang w:eastAsia="ko-KR"/>
        </w:rPr>
      </w:pPr>
      <w:r>
        <w:rPr>
          <w:sz w:val="18"/>
          <w:lang w:eastAsia="ko-KR"/>
        </w:rPr>
        <w:t xml:space="preserve">In selected subject areas, honor points will be assigned to grades in order to reflect the level of work and performance of the student. </w:t>
      </w:r>
      <w:r>
        <w:rPr>
          <w:b/>
          <w:sz w:val="18"/>
          <w:lang w:eastAsia="ko-KR"/>
        </w:rPr>
        <w:t>INTERNATIONAL BACCALAUREATE (IB) HONORS (H) ADVANCED PLACEMENT (AP) COURSES are weighted.</w:t>
      </w:r>
      <w:r>
        <w:rPr>
          <w:sz w:val="18"/>
          <w:lang w:eastAsia="ko-KR"/>
        </w:rPr>
        <w:t xml:space="preserve"> The following table indicates honor point equivalents. Please note: Transfer grades from another school district will be computed 1 point for either honors courses or regular courses. </w:t>
      </w:r>
    </w:p>
    <w:p w:rsidR="00AC230C" w:rsidRDefault="00AC230C" w:rsidP="00AC230C">
      <w:pPr>
        <w:pStyle w:val="Noparagraphstyle"/>
        <w:pBdr>
          <w:bottom w:val="single" w:sz="8" w:space="3" w:color="auto"/>
        </w:pBdr>
        <w:tabs>
          <w:tab w:val="center" w:pos="720"/>
          <w:tab w:val="left" w:pos="810"/>
          <w:tab w:val="center" w:pos="2160"/>
          <w:tab w:val="center" w:pos="3600"/>
          <w:tab w:val="left" w:pos="4680"/>
          <w:tab w:val="center" w:pos="5040"/>
        </w:tabs>
        <w:spacing w:before="80"/>
        <w:rPr>
          <w:rFonts w:ascii="Times New Roman" w:hAnsi="Helvetica Neue"/>
          <w:b/>
          <w:sz w:val="18"/>
          <w:lang w:eastAsia="ko-KR"/>
        </w:rPr>
      </w:pPr>
      <w:r>
        <w:rPr>
          <w:rFonts w:ascii="Times New Roman" w:hAnsi="Helvetica Neue"/>
          <w:b/>
          <w:sz w:val="18"/>
          <w:lang w:eastAsia="ko-KR"/>
        </w:rPr>
        <w:tab/>
        <w:t>Grade</w:t>
      </w:r>
      <w:r>
        <w:rPr>
          <w:rFonts w:ascii="Times New Roman" w:hAnsi="Helvetica Neue"/>
          <w:b/>
          <w:sz w:val="18"/>
          <w:lang w:eastAsia="ko-KR"/>
        </w:rPr>
        <w:tab/>
        <w:t>Honor Points</w:t>
      </w:r>
      <w:r>
        <w:rPr>
          <w:rFonts w:ascii="Times New Roman" w:hAnsi="Helvetica Neue"/>
          <w:b/>
          <w:sz w:val="18"/>
          <w:lang w:eastAsia="ko-KR"/>
        </w:rPr>
        <w:tab/>
        <w:t>Grade</w:t>
      </w:r>
      <w:r>
        <w:rPr>
          <w:rFonts w:ascii="Times New Roman" w:hAnsi="Helvetica Neue"/>
          <w:b/>
          <w:sz w:val="18"/>
          <w:lang w:eastAsia="ko-KR"/>
        </w:rPr>
        <w:tab/>
        <w:t>Regular Points</w:t>
      </w:r>
    </w:p>
    <w:p w:rsidR="00AC230C" w:rsidRDefault="00AC230C" w:rsidP="00AC230C">
      <w:pPr>
        <w:pStyle w:val="Noparagraphstyle"/>
        <w:tabs>
          <w:tab w:val="center" w:pos="720"/>
          <w:tab w:val="left" w:pos="810"/>
          <w:tab w:val="center" w:pos="2160"/>
          <w:tab w:val="center" w:pos="3600"/>
          <w:tab w:val="center" w:pos="5220"/>
        </w:tabs>
        <w:spacing w:before="80"/>
        <w:rPr>
          <w:rFonts w:ascii="Times New Roman" w:hAnsi="Helvetica Neue"/>
          <w:b/>
          <w:sz w:val="18"/>
          <w:lang w:eastAsia="ko-KR"/>
        </w:rPr>
      </w:pPr>
      <w:r>
        <w:rPr>
          <w:rFonts w:ascii="Times New Roman" w:hAnsi="Helvetica Neue"/>
          <w:b/>
          <w:sz w:val="18"/>
          <w:lang w:eastAsia="ko-KR"/>
        </w:rPr>
        <w:tab/>
        <w:t>A</w:t>
      </w:r>
      <w:r>
        <w:rPr>
          <w:rFonts w:ascii="Times New Roman" w:hAnsi="Helvetica Neue"/>
          <w:b/>
          <w:sz w:val="18"/>
          <w:lang w:eastAsia="ko-KR"/>
        </w:rPr>
        <w:tab/>
      </w:r>
      <w:r>
        <w:rPr>
          <w:rFonts w:ascii="Times New Roman" w:hAnsi="Helvetica Neue"/>
          <w:b/>
          <w:sz w:val="18"/>
          <w:lang w:eastAsia="ko-KR"/>
        </w:rPr>
        <w:tab/>
        <w:t>5</w:t>
      </w:r>
      <w:r>
        <w:rPr>
          <w:rFonts w:ascii="Times New Roman" w:hAnsi="Helvetica Neue"/>
          <w:b/>
          <w:sz w:val="18"/>
          <w:lang w:eastAsia="ko-KR"/>
        </w:rPr>
        <w:tab/>
        <w:t>A</w:t>
      </w:r>
      <w:r>
        <w:rPr>
          <w:rFonts w:ascii="Times New Roman" w:hAnsi="Helvetica Neue"/>
          <w:b/>
          <w:sz w:val="18"/>
          <w:lang w:eastAsia="ko-KR"/>
        </w:rPr>
        <w:tab/>
        <w:t>4</w:t>
      </w:r>
    </w:p>
    <w:p w:rsidR="00AC230C" w:rsidRDefault="00AC230C" w:rsidP="00AC230C">
      <w:pPr>
        <w:pStyle w:val="Noparagraphstyle"/>
        <w:tabs>
          <w:tab w:val="center" w:pos="720"/>
          <w:tab w:val="left" w:pos="810"/>
          <w:tab w:val="center" w:pos="2160"/>
          <w:tab w:val="center" w:pos="3600"/>
          <w:tab w:val="center" w:pos="5220"/>
        </w:tabs>
        <w:rPr>
          <w:rFonts w:ascii="Times New Roman" w:hAnsi="Helvetica Neue"/>
          <w:b/>
          <w:sz w:val="18"/>
          <w:lang w:eastAsia="ko-KR"/>
        </w:rPr>
      </w:pPr>
      <w:r>
        <w:rPr>
          <w:rFonts w:ascii="Times New Roman" w:hAnsi="Helvetica Neue"/>
          <w:b/>
          <w:sz w:val="18"/>
          <w:lang w:eastAsia="ko-KR"/>
        </w:rPr>
        <w:tab/>
        <w:t>B</w:t>
      </w:r>
      <w:r>
        <w:rPr>
          <w:rFonts w:ascii="Times New Roman" w:hAnsi="Helvetica Neue"/>
          <w:b/>
          <w:sz w:val="18"/>
          <w:lang w:eastAsia="ko-KR"/>
        </w:rPr>
        <w:tab/>
      </w:r>
      <w:r>
        <w:rPr>
          <w:rFonts w:ascii="Times New Roman" w:hAnsi="Helvetica Neue"/>
          <w:b/>
          <w:sz w:val="18"/>
          <w:lang w:eastAsia="ko-KR"/>
        </w:rPr>
        <w:tab/>
        <w:t>4</w:t>
      </w:r>
      <w:r>
        <w:rPr>
          <w:rFonts w:ascii="Times New Roman" w:hAnsi="Helvetica Neue"/>
          <w:b/>
          <w:sz w:val="18"/>
          <w:lang w:eastAsia="ko-KR"/>
        </w:rPr>
        <w:tab/>
        <w:t>B</w:t>
      </w:r>
      <w:r>
        <w:rPr>
          <w:rFonts w:ascii="Times New Roman" w:hAnsi="Helvetica Neue"/>
          <w:b/>
          <w:sz w:val="18"/>
          <w:lang w:eastAsia="ko-KR"/>
        </w:rPr>
        <w:tab/>
        <w:t>3</w:t>
      </w:r>
    </w:p>
    <w:p w:rsidR="00AC230C" w:rsidRDefault="00AC230C" w:rsidP="00AC230C">
      <w:pPr>
        <w:pStyle w:val="Noparagraphstyle"/>
        <w:tabs>
          <w:tab w:val="center" w:pos="720"/>
          <w:tab w:val="left" w:pos="810"/>
          <w:tab w:val="center" w:pos="2160"/>
          <w:tab w:val="center" w:pos="3600"/>
          <w:tab w:val="center" w:pos="5220"/>
        </w:tabs>
        <w:rPr>
          <w:rFonts w:ascii="Times New Roman" w:hAnsi="Helvetica Neue"/>
          <w:b/>
          <w:sz w:val="18"/>
          <w:lang w:eastAsia="ko-KR"/>
        </w:rPr>
      </w:pPr>
      <w:r>
        <w:rPr>
          <w:rFonts w:ascii="Times New Roman" w:hAnsi="Helvetica Neue"/>
          <w:b/>
          <w:sz w:val="18"/>
          <w:lang w:eastAsia="ko-KR"/>
        </w:rPr>
        <w:tab/>
        <w:t>C</w:t>
      </w:r>
      <w:r>
        <w:rPr>
          <w:rFonts w:ascii="Times New Roman" w:hAnsi="Helvetica Neue"/>
          <w:b/>
          <w:sz w:val="18"/>
          <w:lang w:eastAsia="ko-KR"/>
        </w:rPr>
        <w:tab/>
      </w:r>
      <w:r>
        <w:rPr>
          <w:rFonts w:ascii="Times New Roman" w:hAnsi="Helvetica Neue"/>
          <w:b/>
          <w:sz w:val="18"/>
          <w:lang w:eastAsia="ko-KR"/>
        </w:rPr>
        <w:tab/>
        <w:t>3</w:t>
      </w:r>
      <w:r>
        <w:rPr>
          <w:rFonts w:ascii="Times New Roman" w:hAnsi="Helvetica Neue"/>
          <w:b/>
          <w:sz w:val="18"/>
          <w:lang w:eastAsia="ko-KR"/>
        </w:rPr>
        <w:tab/>
        <w:t>C</w:t>
      </w:r>
      <w:r>
        <w:rPr>
          <w:rFonts w:ascii="Times New Roman" w:hAnsi="Helvetica Neue"/>
          <w:b/>
          <w:sz w:val="18"/>
          <w:lang w:eastAsia="ko-KR"/>
        </w:rPr>
        <w:tab/>
        <w:t>2</w:t>
      </w:r>
    </w:p>
    <w:p w:rsidR="00AC230C" w:rsidRDefault="00AC230C" w:rsidP="00AC230C">
      <w:pPr>
        <w:pStyle w:val="Noparagraphstyle"/>
        <w:tabs>
          <w:tab w:val="center" w:pos="720"/>
          <w:tab w:val="left" w:pos="810"/>
          <w:tab w:val="center" w:pos="2160"/>
          <w:tab w:val="center" w:pos="3600"/>
          <w:tab w:val="center" w:pos="5220"/>
        </w:tabs>
        <w:rPr>
          <w:rFonts w:ascii="Times New Roman" w:hAnsi="Helvetica Neue"/>
          <w:b/>
          <w:sz w:val="18"/>
          <w:lang w:eastAsia="ko-KR"/>
        </w:rPr>
      </w:pPr>
      <w:r>
        <w:rPr>
          <w:rFonts w:ascii="Times New Roman" w:hAnsi="Helvetica Neue"/>
          <w:b/>
          <w:sz w:val="18"/>
          <w:lang w:eastAsia="ko-KR"/>
        </w:rPr>
        <w:tab/>
        <w:t>D</w:t>
      </w:r>
      <w:r>
        <w:rPr>
          <w:rFonts w:ascii="Times New Roman" w:hAnsi="Helvetica Neue"/>
          <w:b/>
          <w:sz w:val="18"/>
          <w:lang w:eastAsia="ko-KR"/>
        </w:rPr>
        <w:tab/>
      </w:r>
      <w:r>
        <w:rPr>
          <w:rFonts w:ascii="Times New Roman" w:hAnsi="Helvetica Neue"/>
          <w:b/>
          <w:sz w:val="18"/>
          <w:lang w:eastAsia="ko-KR"/>
        </w:rPr>
        <w:tab/>
        <w:t>1</w:t>
      </w:r>
      <w:r>
        <w:rPr>
          <w:rFonts w:ascii="Times New Roman" w:hAnsi="Helvetica Neue"/>
          <w:b/>
          <w:sz w:val="18"/>
          <w:lang w:eastAsia="ko-KR"/>
        </w:rPr>
        <w:tab/>
        <w:t>D</w:t>
      </w:r>
      <w:r>
        <w:rPr>
          <w:rFonts w:ascii="Times New Roman" w:hAnsi="Helvetica Neue"/>
          <w:b/>
          <w:sz w:val="18"/>
          <w:lang w:eastAsia="ko-KR"/>
        </w:rPr>
        <w:tab/>
        <w:t>1</w:t>
      </w:r>
    </w:p>
    <w:p w:rsidR="00AC230C" w:rsidRDefault="00AC230C" w:rsidP="00AC230C">
      <w:pPr>
        <w:pStyle w:val="Heading9"/>
        <w:tabs>
          <w:tab w:val="left" w:pos="810"/>
          <w:tab w:val="left" w:pos="2160"/>
          <w:tab w:val="center" w:pos="5220"/>
        </w:tabs>
        <w:rPr>
          <w:rFonts w:ascii="Helvetica Neue" w:eastAsia="Times New Roman" w:hAnsi="Helvetica Neue"/>
        </w:rPr>
      </w:pPr>
      <w:r>
        <w:rPr>
          <w:rFonts w:ascii="Times New Roman" w:hAnsi="Helvetica Neue"/>
        </w:rPr>
        <w:t xml:space="preserve">               F</w:t>
      </w:r>
      <w:r>
        <w:rPr>
          <w:rFonts w:ascii="Times New Roman" w:eastAsia="Times New Roman" w:hAnsi="Helvetica Neue"/>
        </w:rPr>
        <w:t xml:space="preserve">                              </w:t>
      </w:r>
      <w:r>
        <w:rPr>
          <w:rFonts w:ascii="Times New Roman" w:hAnsi="Helvetica Neue"/>
        </w:rPr>
        <w:t>0</w:t>
      </w:r>
      <w:r>
        <w:rPr>
          <w:rFonts w:ascii="Times New Roman" w:eastAsia="Times New Roman" w:hAnsi="Helvetica Neue"/>
        </w:rPr>
        <w:t xml:space="preserve">                             </w:t>
      </w:r>
      <w:r>
        <w:rPr>
          <w:rFonts w:ascii="Times New Roman" w:hAnsi="Helvetica Neue"/>
        </w:rPr>
        <w:t>F</w:t>
      </w:r>
      <w:r>
        <w:rPr>
          <w:rFonts w:ascii="Times New Roman" w:eastAsia="Times New Roman" w:hAnsi="Helvetica Neue"/>
        </w:rPr>
        <w:tab/>
      </w:r>
      <w:r>
        <w:rPr>
          <w:rFonts w:ascii="Times New Roman" w:hAnsi="Helvetica Neue"/>
        </w:rPr>
        <w:t>0</w:t>
      </w:r>
    </w:p>
    <w:p w:rsidR="00AC230C" w:rsidRDefault="00AC230C" w:rsidP="00AC230C">
      <w:pPr>
        <w:tabs>
          <w:tab w:val="left" w:pos="810"/>
          <w:tab w:val="left" w:pos="4680"/>
        </w:tabs>
        <w:rPr>
          <w:b/>
          <w:sz w:val="18"/>
          <w:lang w:eastAsia="ko-KR"/>
        </w:rPr>
      </w:pPr>
      <w:r>
        <w:rPr>
          <w:b/>
          <w:sz w:val="18"/>
          <w:lang w:eastAsia="ko-KR"/>
        </w:rPr>
        <w:t xml:space="preserve">Note: Colleges and Universities may </w:t>
      </w:r>
      <w:proofErr w:type="spellStart"/>
      <w:r>
        <w:rPr>
          <w:b/>
          <w:sz w:val="18"/>
          <w:lang w:eastAsia="ko-KR"/>
        </w:rPr>
        <w:t>unweight</w:t>
      </w:r>
      <w:proofErr w:type="spellEnd"/>
      <w:r>
        <w:rPr>
          <w:b/>
          <w:sz w:val="18"/>
          <w:lang w:eastAsia="ko-KR"/>
        </w:rPr>
        <w:t xml:space="preserve"> grades.</w:t>
      </w:r>
    </w:p>
    <w:p w:rsidR="00AC230C" w:rsidRDefault="00AC230C" w:rsidP="00AC230C">
      <w:pPr>
        <w:tabs>
          <w:tab w:val="left" w:pos="810"/>
          <w:tab w:val="left" w:pos="4680"/>
        </w:tabs>
        <w:rPr>
          <w:sz w:val="16"/>
          <w:szCs w:val="16"/>
          <w:lang w:eastAsia="ko-KR"/>
        </w:rPr>
      </w:pPr>
    </w:p>
    <w:p w:rsidR="00AC230C" w:rsidRDefault="00AC230C" w:rsidP="00AC230C">
      <w:pPr>
        <w:tabs>
          <w:tab w:val="left" w:pos="810"/>
          <w:tab w:val="left" w:pos="4680"/>
        </w:tabs>
        <w:rPr>
          <w:b/>
          <w:sz w:val="18"/>
          <w:lang w:eastAsia="ko-KR"/>
        </w:rPr>
      </w:pPr>
      <w:r>
        <w:rPr>
          <w:b/>
          <w:sz w:val="18"/>
          <w:lang w:eastAsia="ko-KR"/>
        </w:rPr>
        <w:t>CLASS RANKING</w:t>
      </w:r>
    </w:p>
    <w:p w:rsidR="00AC230C" w:rsidRDefault="00AC230C" w:rsidP="00AC230C">
      <w:pPr>
        <w:tabs>
          <w:tab w:val="left" w:pos="810"/>
          <w:tab w:val="left" w:pos="4680"/>
        </w:tabs>
        <w:rPr>
          <w:sz w:val="18"/>
          <w:lang w:eastAsia="ko-KR"/>
        </w:rPr>
      </w:pPr>
      <w:r>
        <w:rPr>
          <w:sz w:val="18"/>
          <w:lang w:eastAsia="ko-KR"/>
        </w:rPr>
        <w:t>The following designated courses will be used when calculating the high school class ranking list:</w:t>
      </w:r>
    </w:p>
    <w:p w:rsidR="00AC230C" w:rsidRDefault="00AC230C" w:rsidP="00AC230C">
      <w:pPr>
        <w:tabs>
          <w:tab w:val="left" w:pos="810"/>
          <w:tab w:val="left" w:pos="4680"/>
        </w:tabs>
        <w:rPr>
          <w:sz w:val="16"/>
          <w:szCs w:val="16"/>
          <w:lang w:eastAsia="ko-KR"/>
        </w:rPr>
      </w:pPr>
    </w:p>
    <w:p w:rsidR="00AC230C" w:rsidRDefault="00AC230C" w:rsidP="00AC230C">
      <w:pPr>
        <w:tabs>
          <w:tab w:val="left" w:pos="810"/>
          <w:tab w:val="left" w:pos="4680"/>
        </w:tabs>
        <w:rPr>
          <w:sz w:val="18"/>
          <w:lang w:eastAsia="ko-KR"/>
        </w:rPr>
      </w:pPr>
      <w:r>
        <w:rPr>
          <w:sz w:val="18"/>
          <w:lang w:eastAsia="ko-KR"/>
        </w:rPr>
        <w:t>Freshman                           Sophomore                         Junior                                 Senior</w:t>
      </w:r>
    </w:p>
    <w:p w:rsidR="00AC230C" w:rsidRDefault="00AC230C" w:rsidP="00AC230C">
      <w:pPr>
        <w:tabs>
          <w:tab w:val="left" w:pos="810"/>
          <w:tab w:val="left" w:pos="4680"/>
        </w:tabs>
        <w:rPr>
          <w:sz w:val="18"/>
          <w:lang w:eastAsia="ko-KR"/>
        </w:rPr>
      </w:pPr>
      <w:r>
        <w:rPr>
          <w:sz w:val="18"/>
          <w:lang w:eastAsia="ko-KR"/>
        </w:rPr>
        <w:t>Language Arts                   Language Arts                   Language Arts                    Language Arts</w:t>
      </w:r>
    </w:p>
    <w:p w:rsidR="00AC230C" w:rsidRDefault="00AC230C" w:rsidP="00AC230C">
      <w:pPr>
        <w:tabs>
          <w:tab w:val="left" w:pos="810"/>
          <w:tab w:val="left" w:pos="4680"/>
        </w:tabs>
        <w:rPr>
          <w:sz w:val="18"/>
          <w:lang w:eastAsia="ko-KR"/>
        </w:rPr>
      </w:pPr>
      <w:r>
        <w:rPr>
          <w:sz w:val="18"/>
          <w:lang w:eastAsia="ko-KR"/>
        </w:rPr>
        <w:t xml:space="preserve">Math                                  </w:t>
      </w:r>
      <w:proofErr w:type="spellStart"/>
      <w:r>
        <w:rPr>
          <w:sz w:val="18"/>
          <w:lang w:eastAsia="ko-KR"/>
        </w:rPr>
        <w:t>Math</w:t>
      </w:r>
      <w:proofErr w:type="spellEnd"/>
      <w:r>
        <w:rPr>
          <w:sz w:val="18"/>
          <w:lang w:eastAsia="ko-KR"/>
        </w:rPr>
        <w:t xml:space="preserve">                                   </w:t>
      </w:r>
      <w:proofErr w:type="spellStart"/>
      <w:r>
        <w:rPr>
          <w:sz w:val="18"/>
          <w:lang w:eastAsia="ko-KR"/>
        </w:rPr>
        <w:t>Math</w:t>
      </w:r>
      <w:proofErr w:type="spellEnd"/>
      <w:r>
        <w:rPr>
          <w:sz w:val="18"/>
          <w:lang w:eastAsia="ko-KR"/>
        </w:rPr>
        <w:t xml:space="preserve">                            </w:t>
      </w:r>
      <w:r>
        <w:rPr>
          <w:sz w:val="18"/>
          <w:lang w:eastAsia="ko-KR"/>
        </w:rPr>
        <w:tab/>
        <w:t xml:space="preserve"> Math</w:t>
      </w:r>
    </w:p>
    <w:p w:rsidR="00AC230C" w:rsidRDefault="00AC230C" w:rsidP="00AC230C">
      <w:pPr>
        <w:tabs>
          <w:tab w:val="left" w:pos="810"/>
          <w:tab w:val="left" w:pos="4680"/>
        </w:tabs>
        <w:rPr>
          <w:sz w:val="18"/>
          <w:lang w:eastAsia="ko-KR"/>
        </w:rPr>
      </w:pPr>
      <w:r>
        <w:rPr>
          <w:sz w:val="18"/>
          <w:lang w:eastAsia="ko-KR"/>
        </w:rPr>
        <w:t xml:space="preserve">Science                              </w:t>
      </w:r>
      <w:proofErr w:type="spellStart"/>
      <w:r>
        <w:rPr>
          <w:sz w:val="18"/>
          <w:lang w:eastAsia="ko-KR"/>
        </w:rPr>
        <w:t>Science</w:t>
      </w:r>
      <w:proofErr w:type="spellEnd"/>
      <w:r>
        <w:rPr>
          <w:sz w:val="18"/>
          <w:lang w:eastAsia="ko-KR"/>
        </w:rPr>
        <w:t xml:space="preserve">                               </w:t>
      </w:r>
      <w:proofErr w:type="spellStart"/>
      <w:r>
        <w:rPr>
          <w:sz w:val="18"/>
          <w:lang w:eastAsia="ko-KR"/>
        </w:rPr>
        <w:t>Science</w:t>
      </w:r>
      <w:proofErr w:type="spellEnd"/>
      <w:r>
        <w:rPr>
          <w:sz w:val="18"/>
          <w:lang w:eastAsia="ko-KR"/>
        </w:rPr>
        <w:t xml:space="preserve">                         </w:t>
      </w:r>
      <w:r>
        <w:rPr>
          <w:sz w:val="18"/>
          <w:lang w:eastAsia="ko-KR"/>
        </w:rPr>
        <w:tab/>
        <w:t>Science</w:t>
      </w:r>
    </w:p>
    <w:p w:rsidR="00AC230C" w:rsidRDefault="00AC230C" w:rsidP="00AC230C">
      <w:pPr>
        <w:tabs>
          <w:tab w:val="left" w:pos="810"/>
          <w:tab w:val="left" w:pos="4680"/>
        </w:tabs>
        <w:rPr>
          <w:sz w:val="18"/>
          <w:lang w:eastAsia="ko-KR"/>
        </w:rPr>
      </w:pPr>
      <w:r>
        <w:rPr>
          <w:sz w:val="18"/>
          <w:lang w:eastAsia="ko-KR"/>
        </w:rPr>
        <w:t xml:space="preserve">                                           Social Studies                    Social Studies                     Social Studies</w:t>
      </w:r>
    </w:p>
    <w:p w:rsidR="00AC230C" w:rsidRDefault="00AC230C" w:rsidP="00AC230C">
      <w:pPr>
        <w:tabs>
          <w:tab w:val="left" w:pos="810"/>
          <w:tab w:val="left" w:pos="4680"/>
        </w:tabs>
        <w:rPr>
          <w:sz w:val="16"/>
          <w:szCs w:val="16"/>
          <w:lang w:eastAsia="ko-KR"/>
        </w:rPr>
      </w:pPr>
    </w:p>
    <w:p w:rsidR="00AC230C" w:rsidRDefault="00AC230C" w:rsidP="00AC230C">
      <w:pPr>
        <w:tabs>
          <w:tab w:val="left" w:pos="810"/>
          <w:tab w:val="left" w:pos="4680"/>
        </w:tabs>
        <w:rPr>
          <w:sz w:val="18"/>
          <w:lang w:eastAsia="ko-KR"/>
        </w:rPr>
      </w:pPr>
      <w:r>
        <w:rPr>
          <w:sz w:val="18"/>
          <w:lang w:eastAsia="ko-KR"/>
        </w:rPr>
        <w:t>1.  If more than one class is taken in the same designated subject area during the same semester, the class with the highest grade will be used.  If the grades are the same, the most advanced level class will be used.</w:t>
      </w:r>
    </w:p>
    <w:p w:rsidR="00AC230C" w:rsidRDefault="00AC230C" w:rsidP="00AC230C">
      <w:pPr>
        <w:tabs>
          <w:tab w:val="left" w:pos="810"/>
          <w:tab w:val="left" w:pos="4680"/>
        </w:tabs>
        <w:rPr>
          <w:sz w:val="18"/>
          <w:lang w:eastAsia="ko-KR"/>
        </w:rPr>
      </w:pPr>
      <w:r>
        <w:rPr>
          <w:sz w:val="18"/>
          <w:lang w:eastAsia="ko-KR"/>
        </w:rPr>
        <w:t>2.  Only the designated classes taken during the freshman through senior years and approved DVUSD math classes taken in 7th and 8th grades will be used for class ranking.</w:t>
      </w:r>
    </w:p>
    <w:p w:rsidR="00AC230C" w:rsidRDefault="00AC230C" w:rsidP="00AC230C">
      <w:pPr>
        <w:tabs>
          <w:tab w:val="left" w:pos="810"/>
          <w:tab w:val="left" w:pos="4680"/>
        </w:tabs>
        <w:rPr>
          <w:sz w:val="18"/>
          <w:lang w:eastAsia="ko-KR"/>
        </w:rPr>
      </w:pPr>
      <w:r>
        <w:rPr>
          <w:sz w:val="18"/>
          <w:lang w:eastAsia="ko-KR"/>
        </w:rPr>
        <w:t>3.  This proposal applies to class ranking only, not to individual GPA.  The individual GPA will continue to include all classes on a student’s transcript as currently processed.  (It should be noted that the universities recalculate the individual GPA according to their own formula.)</w:t>
      </w:r>
    </w:p>
    <w:p w:rsidR="00AC230C" w:rsidRDefault="00AC230C" w:rsidP="00AC230C">
      <w:pPr>
        <w:tabs>
          <w:tab w:val="left" w:pos="810"/>
          <w:tab w:val="left" w:pos="4680"/>
        </w:tabs>
        <w:rPr>
          <w:sz w:val="18"/>
          <w:lang w:eastAsia="ko-KR"/>
        </w:rPr>
      </w:pPr>
      <w:r>
        <w:rPr>
          <w:sz w:val="18"/>
          <w:lang w:eastAsia="ko-KR"/>
        </w:rPr>
        <w:t>4.  Qualifying classes from the designated subject areas will include non-elective courses that meet the requirements for graduation.</w:t>
      </w:r>
    </w:p>
    <w:p w:rsidR="00557226" w:rsidRDefault="00557226"/>
    <w:sectPr w:rsidR="00557226" w:rsidSect="00557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TT)">
    <w:altName w:val="Times New Roman"/>
    <w:panose1 w:val="00000000000000000000"/>
    <w:charset w:val="4D"/>
    <w:family w:val="auto"/>
    <w:notTrueType/>
    <w:pitch w:val="default"/>
    <w:sig w:usb0="03000000" w:usb1="00000000" w:usb2="00000000" w:usb3="00000000" w:csb0="00000001" w:csb1="00000000"/>
  </w:font>
  <w:font w:name="Helvetica Neu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30C"/>
    <w:rsid w:val="00557226"/>
    <w:rsid w:val="009E482B"/>
    <w:rsid w:val="00AC230C"/>
    <w:rsid w:val="00C43B42"/>
    <w:rsid w:val="00DE1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0C"/>
    <w:pPr>
      <w:spacing w:after="0" w:line="240" w:lineRule="auto"/>
    </w:pPr>
    <w:rPr>
      <w:rFonts w:ascii="Times" w:eastAsia="Times" w:hAnsi="Times" w:cs="Times New Roman"/>
      <w:sz w:val="24"/>
      <w:szCs w:val="20"/>
    </w:rPr>
  </w:style>
  <w:style w:type="paragraph" w:styleId="Heading9">
    <w:name w:val="heading 9"/>
    <w:basedOn w:val="Normal"/>
    <w:next w:val="Normal"/>
    <w:link w:val="Heading9Char"/>
    <w:semiHidden/>
    <w:unhideWhenUsed/>
    <w:qFormat/>
    <w:rsid w:val="00AC230C"/>
    <w:pPr>
      <w:keepNext/>
      <w:outlineLvl w:val="8"/>
    </w:pPr>
    <w:rPr>
      <w:rFonts w:hAnsi="Times New Roman"/>
      <w:b/>
      <w:sz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AC230C"/>
    <w:rPr>
      <w:rFonts w:ascii="Times" w:eastAsia="Times" w:hAnsi="Times New Roman" w:cs="Times New Roman"/>
      <w:b/>
      <w:sz w:val="18"/>
      <w:szCs w:val="20"/>
      <w:lang w:eastAsia="ko-KR"/>
    </w:rPr>
  </w:style>
  <w:style w:type="paragraph" w:styleId="Header">
    <w:name w:val="header"/>
    <w:basedOn w:val="Normal"/>
    <w:link w:val="HeaderChar"/>
    <w:semiHidden/>
    <w:unhideWhenUsed/>
    <w:rsid w:val="00AC230C"/>
    <w:pPr>
      <w:tabs>
        <w:tab w:val="center" w:pos="4320"/>
        <w:tab w:val="right" w:pos="8640"/>
      </w:tabs>
    </w:pPr>
  </w:style>
  <w:style w:type="character" w:customStyle="1" w:styleId="HeaderChar">
    <w:name w:val="Header Char"/>
    <w:basedOn w:val="DefaultParagraphFont"/>
    <w:link w:val="Header"/>
    <w:semiHidden/>
    <w:rsid w:val="00AC230C"/>
    <w:rPr>
      <w:rFonts w:ascii="Times" w:eastAsia="Times" w:hAnsi="Times" w:cs="Times New Roman"/>
      <w:sz w:val="24"/>
      <w:szCs w:val="20"/>
    </w:rPr>
  </w:style>
  <w:style w:type="paragraph" w:customStyle="1" w:styleId="Noparagraphstyle">
    <w:name w:val="[No paragraph style]"/>
    <w:rsid w:val="00AC230C"/>
    <w:pPr>
      <w:widowControl w:val="0"/>
      <w:autoSpaceDE w:val="0"/>
      <w:autoSpaceDN w:val="0"/>
      <w:adjustRightInd w:val="0"/>
      <w:spacing w:after="0" w:line="288" w:lineRule="auto"/>
    </w:pPr>
    <w:rPr>
      <w:rFonts w:ascii="Times (TT)" w:eastAsia="Times New Roman" w:hAnsi="Times (TT)"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1444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Weeks</dc:creator>
  <cp:keywords/>
  <dc:description/>
  <cp:lastModifiedBy>Sheri Perry</cp:lastModifiedBy>
  <cp:revision>2</cp:revision>
  <dcterms:created xsi:type="dcterms:W3CDTF">2012-08-12T01:55:00Z</dcterms:created>
  <dcterms:modified xsi:type="dcterms:W3CDTF">2012-08-12T01:55:00Z</dcterms:modified>
</cp:coreProperties>
</file>